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7E7" w:rsidRPr="00CE07E7" w:rsidRDefault="00A41504" w:rsidP="00CE07E7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CE07E7" w:rsidRPr="00CE07E7">
        <w:rPr>
          <w:rFonts w:ascii="Wiener Melange Extra Bold" w:hAnsi="Wiener Melange Extra Bold" w:cs="Wiener Melange Extra Bold"/>
          <w:sz w:val="24"/>
        </w:rPr>
        <w:t>Innere Medizin und</w:t>
      </w:r>
    </w:p>
    <w:p w:rsidR="004F2E35" w:rsidRPr="00D44855" w:rsidRDefault="00CE07E7" w:rsidP="00CE07E7">
      <w:pPr>
        <w:rPr>
          <w:rFonts w:ascii="Wiener Melange Extra Bold" w:hAnsi="Wiener Melange Extra Bold" w:cs="Wiener Melange Extra Bold"/>
          <w:sz w:val="24"/>
        </w:rPr>
      </w:pPr>
      <w:r w:rsidRPr="00CE07E7">
        <w:rPr>
          <w:rFonts w:ascii="Wiener Melange Extra Bold" w:hAnsi="Wiener Melange Extra Bold" w:cs="Wiener Melange Extra Bold"/>
          <w:sz w:val="24"/>
        </w:rPr>
        <w:t>Gastroenterologie und Hepatologie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1126EB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CE07E7" w:rsidP="00A239E3">
            <w:pPr>
              <w:spacing w:before="120" w:after="120" w:line="240" w:lineRule="auto"/>
            </w:pPr>
            <w:r>
              <w:t>2.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CE07E7" w:rsidP="00A239E3">
            <w:pPr>
              <w:spacing w:before="120" w:after="120" w:line="240" w:lineRule="auto"/>
            </w:pPr>
            <w:r>
              <w:t>Diagnostik und Therapie spezifischer gastroenterologischer und hepatologischer Erkrankungen, insbesondere:</w:t>
            </w:r>
          </w:p>
        </w:tc>
        <w:tc>
          <w:tcPr>
            <w:tcW w:w="1134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Therapien von Hepatitiden</w:t>
            </w:r>
          </w:p>
        </w:tc>
        <w:tc>
          <w:tcPr>
            <w:tcW w:w="1134" w:type="dxa"/>
            <w:vAlign w:val="center"/>
          </w:tcPr>
          <w:p w:rsidR="001126EB" w:rsidRDefault="00CE07E7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CE07E7" w:rsidP="00A239E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1126EB" w:rsidRDefault="00CE07E7" w:rsidP="00A239E3">
            <w:pPr>
              <w:spacing w:before="120" w:after="120" w:line="240" w:lineRule="auto"/>
            </w:pPr>
            <w:r>
              <w:t>Diagnostische und therapeutische gastrointestinale Endoskopie:</w:t>
            </w:r>
          </w:p>
        </w:tc>
        <w:tc>
          <w:tcPr>
            <w:tcW w:w="1134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Ösophagogastroduodenoskopien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300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hohe Koloskopien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300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Schlingenpolypektomien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50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endoskopische Therapien von Blutungen aus dem Gastrointestinaltrakt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30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PEG-Sonden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Spezielle diagnostische und therapeutisch endoskopische Verfahren: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allfällig Manometrie, pH-Metrie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10</w:t>
            </w: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2627B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Fachspezifische Sonographien:</w:t>
            </w:r>
          </w:p>
        </w:tc>
        <w:tc>
          <w:tcPr>
            <w:tcW w:w="1134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diagnostische Sonographie des Abdomens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350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CE07E7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CE07E7" w:rsidRDefault="00CE07E7" w:rsidP="00CE07E7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diagnostische und therapeutische Funktionen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30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</w:tbl>
    <w:p w:rsidR="00CE07E7" w:rsidRDefault="00CE07E7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CE07E7" w:rsidTr="00C251BE">
        <w:trPr>
          <w:trHeight w:val="340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lastRenderedPageBreak/>
              <w:t>8.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Allfällige fachspezifische zytostatische, immunmodulatorische, supportive und palliative Behandlungszyklen und nachfolgende Überwachung und Beherrschung der Komplikationen nach interdisziplinärer Indikationsstellung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  <w:tr w:rsidR="00CE07E7" w:rsidTr="00C251BE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  <w:right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</w:pPr>
            <w:r>
              <w:t>Analgosedierung</w:t>
            </w:r>
          </w:p>
        </w:tc>
        <w:tc>
          <w:tcPr>
            <w:tcW w:w="1134" w:type="dxa"/>
            <w:tcBorders>
              <w:top w:val="single" w:sz="2" w:space="0" w:color="D6D1CA"/>
              <w:left w:val="single" w:sz="2" w:space="0" w:color="D6D1CA"/>
              <w:bottom w:val="single" w:sz="2" w:space="0" w:color="D6D1CA"/>
              <w:right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left w:val="single" w:sz="2" w:space="0" w:color="D6D1CA"/>
              <w:bottom w:val="single" w:sz="2" w:space="0" w:color="D6D1CA"/>
            </w:tcBorders>
            <w:vAlign w:val="center"/>
          </w:tcPr>
          <w:p w:rsidR="00CE07E7" w:rsidRDefault="00CE07E7" w:rsidP="00A239E3">
            <w:pPr>
              <w:spacing w:before="120" w:after="120" w:line="240" w:lineRule="auto"/>
              <w:jc w:val="center"/>
            </w:pPr>
          </w:p>
        </w:tc>
      </w:tr>
    </w:tbl>
    <w:p w:rsidR="00A41504" w:rsidRDefault="00A41504" w:rsidP="00FE576D">
      <w:pPr>
        <w:spacing w:after="0" w:line="240" w:lineRule="auto"/>
      </w:pPr>
    </w:p>
    <w:p w:rsidR="00D807C2" w:rsidRDefault="00D807C2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  <w:bookmarkStart w:id="0" w:name="_GoBack"/>
      <w:bookmarkEnd w:id="0"/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 w:rsidP="00CE07E7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CE07E7" w:rsidRDefault="00CE07E7" w:rsidP="00CE07E7">
    <w:pPr>
      <w:pStyle w:val="Fuzeile"/>
    </w:pPr>
    <w:r>
      <w:t>Leistungszahlen Innere Medizin und Gastroenterologie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CE07E7" w:rsidRDefault="00CE07E7" w:rsidP="00CE07E7">
    <w:pPr>
      <w:pStyle w:val="Fuzeile"/>
    </w:pPr>
    <w:r>
      <w:t>Leistungszahlen Innere Medizin und Gastroenterologie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2E7AA5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2E7AA5" w:rsidRPr="002E7AA5">
      <w:rPr>
        <w:rStyle w:val="Seitenzahl"/>
        <w:rFonts w:cs="Wiener Melange"/>
        <w:noProof/>
        <w:szCs w:val="20"/>
        <w:lang w:val="de-DE"/>
      </w:rPr>
      <w:t>2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2E7AA5" w:rsidRPr="002E7AA5">
      <w:rPr>
        <w:rStyle w:val="Seitenzahl"/>
        <w:noProof/>
        <w:szCs w:val="20"/>
        <w:lang w:val="de-DE"/>
      </w:rPr>
      <w:t>2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063D7"/>
    <w:multiLevelType w:val="hybridMultilevel"/>
    <w:tmpl w:val="8C8C81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2627B3"/>
    <w:rsid w:val="002E7AA5"/>
    <w:rsid w:val="004639EE"/>
    <w:rsid w:val="004F2E35"/>
    <w:rsid w:val="00590724"/>
    <w:rsid w:val="00703D18"/>
    <w:rsid w:val="007C1EE6"/>
    <w:rsid w:val="007D2AFC"/>
    <w:rsid w:val="00942FAB"/>
    <w:rsid w:val="009A212E"/>
    <w:rsid w:val="00A239E3"/>
    <w:rsid w:val="00A41504"/>
    <w:rsid w:val="00A459A0"/>
    <w:rsid w:val="00AF167F"/>
    <w:rsid w:val="00B64ED3"/>
    <w:rsid w:val="00BE6FD1"/>
    <w:rsid w:val="00C251BE"/>
    <w:rsid w:val="00CE07E7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7C3222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20</cp:revision>
  <cp:lastPrinted>2022-12-22T10:37:00Z</cp:lastPrinted>
  <dcterms:created xsi:type="dcterms:W3CDTF">2022-12-21T14:55:00Z</dcterms:created>
  <dcterms:modified xsi:type="dcterms:W3CDTF">2022-12-22T10:37:00Z</dcterms:modified>
  <cp:category/>
</cp:coreProperties>
</file>